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cs="Times New Roman"/>
        </w:rPr>
      </w:pPr>
    </w:p>
    <w:p>
      <w:pPr>
        <w:jc w:val="center"/>
        <w:rPr>
          <w:rFonts w:ascii="华文仿宋" w:hAnsi="华文仿宋" w:eastAsia="华文仿宋" w:cs="Times New Roman"/>
          <w:b/>
          <w:bCs/>
          <w:sz w:val="32"/>
          <w:szCs w:val="32"/>
        </w:rPr>
      </w:pPr>
      <w:r>
        <w:rPr>
          <w:rFonts w:cs="Times New Roman"/>
        </w:rPr>
        <w:drawing>
          <wp:inline distT="0" distB="0" distL="114300" distR="114300">
            <wp:extent cx="5175885" cy="690245"/>
            <wp:effectExtent l="0" t="0" r="5715" b="1460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5175885" cy="690245"/>
                    </a:xfrm>
                    <a:prstGeom prst="rect">
                      <a:avLst/>
                    </a:prstGeom>
                    <a:noFill/>
                    <a:ln>
                      <a:noFill/>
                    </a:ln>
                  </pic:spPr>
                </pic:pic>
              </a:graphicData>
            </a:graphic>
          </wp:inline>
        </w:drawing>
      </w:r>
      <w:r>
        <w:rPr>
          <w:rFonts w:hint="eastAsia" w:ascii="仿宋_GB2312" w:hAnsi="华文仿宋" w:eastAsia="仿宋_GB2312" w:cs="仿宋_GB2312"/>
          <w:b/>
          <w:bCs/>
          <w:sz w:val="32"/>
          <w:szCs w:val="32"/>
        </w:rPr>
        <w:t>经贸学发</w:t>
      </w:r>
      <w:r>
        <w:rPr>
          <w:rFonts w:ascii="仿宋_GB2312" w:hAnsi="华文仿宋" w:eastAsia="仿宋_GB2312" w:cs="仿宋_GB2312"/>
          <w:b/>
          <w:bCs/>
          <w:sz w:val="32"/>
          <w:szCs w:val="32"/>
        </w:rPr>
        <w:t>[20</w:t>
      </w:r>
      <w:r>
        <w:rPr>
          <w:rFonts w:hint="eastAsia" w:ascii="仿宋_GB2312" w:hAnsi="华文仿宋" w:eastAsia="仿宋_GB2312" w:cs="仿宋_GB2312"/>
          <w:b/>
          <w:bCs/>
          <w:sz w:val="32"/>
          <w:szCs w:val="32"/>
          <w:lang w:val="en-US" w:eastAsia="zh-CN"/>
        </w:rPr>
        <w:t>20</w:t>
      </w:r>
      <w:r>
        <w:rPr>
          <w:rFonts w:ascii="仿宋_GB2312" w:hAnsi="华文仿宋" w:eastAsia="仿宋_GB2312" w:cs="仿宋_GB2312"/>
          <w:b/>
          <w:bCs/>
          <w:sz w:val="32"/>
          <w:szCs w:val="32"/>
        </w:rPr>
        <w:t>]</w:t>
      </w:r>
      <w:r>
        <w:rPr>
          <w:rFonts w:hint="eastAsia" w:ascii="仿宋_GB2312" w:hAnsi="华文仿宋" w:eastAsia="仿宋_GB2312" w:cs="仿宋_GB2312"/>
          <w:b/>
          <w:bCs/>
          <w:sz w:val="32"/>
          <w:szCs w:val="32"/>
        </w:rPr>
        <w:t>第</w:t>
      </w:r>
      <w:r>
        <w:rPr>
          <w:rFonts w:hint="eastAsia" w:ascii="仿宋_GB2312" w:hAnsi="华文仿宋" w:eastAsia="仿宋_GB2312" w:cs="仿宋_GB2312"/>
          <w:b/>
          <w:bCs/>
          <w:sz w:val="32"/>
          <w:szCs w:val="32"/>
          <w:lang w:val="en-US" w:eastAsia="zh-CN"/>
        </w:rPr>
        <w:t>19</w:t>
      </w:r>
      <w:r>
        <w:rPr>
          <w:rFonts w:hint="eastAsia" w:ascii="仿宋_GB2312" w:hAnsi="华文仿宋" w:eastAsia="仿宋_GB2312" w:cs="仿宋_GB2312"/>
          <w:b/>
          <w:bCs/>
          <w:sz w:val="32"/>
          <w:szCs w:val="32"/>
        </w:rPr>
        <w:t>号</w:t>
      </w:r>
    </w:p>
    <w:p>
      <w:pPr>
        <w:spacing w:beforeLines="50"/>
        <w:jc w:val="center"/>
        <w:rPr>
          <w:rFonts w:hint="eastAsia" w:ascii="黑体" w:hAnsi="黑体" w:eastAsia="黑体"/>
          <w:sz w:val="44"/>
          <w:szCs w:val="44"/>
        </w:rPr>
      </w:pPr>
      <w:r>
        <w:rPr>
          <w:sz w:val="30"/>
          <w:szCs w:val="30"/>
        </w:rPr>
        <mc:AlternateContent>
          <mc:Choice Requires="wps">
            <w:drawing>
              <wp:anchor distT="0" distB="0" distL="114300" distR="114300" simplePos="0" relativeHeight="1024" behindDoc="0" locked="0" layoutInCell="1" allowOverlap="1">
                <wp:simplePos x="0" y="0"/>
                <wp:positionH relativeFrom="column">
                  <wp:posOffset>-182880</wp:posOffset>
                </wp:positionH>
                <wp:positionV relativeFrom="paragraph">
                  <wp:posOffset>23495</wp:posOffset>
                </wp:positionV>
                <wp:extent cx="561530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615305" cy="635"/>
                        </a:xfrm>
                        <a:prstGeom prst="line">
                          <a:avLst/>
                        </a:prstGeom>
                        <a:ln w="9525" cap="flat" cmpd="thickThin">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4.4pt;margin-top:1.85pt;height:0.05pt;width:442.15pt;z-index:1024;mso-width-relative:page;mso-height-relative:page;" filled="f" stroked="t" coordsize="21600,21600" o:gfxdata="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OoBq2rWAAAABwEAAA8AAAAAAAAAAQAgAAAAIgAAAGRycy9kb3ducmV2Lnht&#10;bFBLAQIUABQAAAAIAIdO4kAhCa+X+wEAAOwDAAAOAAAAAAAAAAEAIAAAACUBAABkcnMvZTJvRG9j&#10;LnhtbFBLBQYAAAAABgAGAFkBAACSBQAAAAA=&#10;">
                <v:fill on="f" focussize="0,0"/>
                <v:stroke color="#FF0000" linestyle="thickThin" joinstyle="round"/>
                <v:imagedata o:title=""/>
                <o:lock v:ext="edit" aspectratio="f"/>
              </v:line>
            </w:pict>
          </mc:Fallback>
        </mc:AlternateContent>
      </w:r>
      <w:r>
        <w:rPr>
          <w:rFonts w:hint="eastAsia" w:ascii="黑体" w:hAnsi="黑体" w:eastAsia="黑体"/>
          <w:sz w:val="44"/>
          <w:szCs w:val="44"/>
        </w:rPr>
        <w:t>关于开展</w:t>
      </w:r>
      <w:r>
        <w:rPr>
          <w:rFonts w:hint="eastAsia" w:ascii="黑体" w:hAnsi="黑体" w:eastAsia="黑体"/>
          <w:sz w:val="44"/>
          <w:szCs w:val="44"/>
          <w:lang w:eastAsia="zh-CN"/>
        </w:rPr>
        <w:t>2020-2021</w:t>
      </w:r>
      <w:r>
        <w:rPr>
          <w:rFonts w:hint="eastAsia" w:ascii="黑体" w:hAnsi="黑体" w:eastAsia="黑体"/>
          <w:sz w:val="44"/>
          <w:szCs w:val="44"/>
        </w:rPr>
        <w:t>学年</w:t>
      </w:r>
    </w:p>
    <w:p>
      <w:pPr>
        <w:spacing w:beforeLines="50"/>
        <w:jc w:val="center"/>
        <w:rPr>
          <w:rFonts w:ascii="黑体" w:hAnsi="黑体" w:eastAsia="黑体"/>
          <w:sz w:val="44"/>
          <w:szCs w:val="44"/>
        </w:rPr>
      </w:pPr>
      <w:r>
        <w:rPr>
          <w:rFonts w:hint="eastAsia" w:ascii="黑体" w:hAnsi="黑体" w:eastAsia="黑体"/>
          <w:sz w:val="44"/>
          <w:szCs w:val="44"/>
          <w:lang w:val="en-US" w:eastAsia="zh-CN"/>
        </w:rPr>
        <w:t>学校助学金评选</w:t>
      </w:r>
      <w:r>
        <w:rPr>
          <w:rFonts w:hint="eastAsia" w:ascii="黑体" w:hAnsi="黑体" w:eastAsia="黑体"/>
          <w:sz w:val="44"/>
          <w:szCs w:val="44"/>
        </w:rPr>
        <w:t>工作的通知</w:t>
      </w:r>
    </w:p>
    <w:p>
      <w:pPr>
        <w:spacing w:line="520" w:lineRule="exact"/>
        <w:rPr>
          <w:rFonts w:hint="eastAsia" w:ascii="仿宋_GB2312" w:eastAsia="仿宋_GB2312"/>
          <w:sz w:val="32"/>
          <w:szCs w:val="32"/>
        </w:rPr>
      </w:pPr>
      <w:r>
        <w:rPr>
          <w:rFonts w:hint="eastAsia" w:ascii="仿宋_GB2312" w:eastAsia="仿宋_GB2312"/>
          <w:sz w:val="32"/>
          <w:szCs w:val="32"/>
        </w:rPr>
        <w:t>各学院：</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为激励家庭经济困难学生勤奋学习、努力进取,根据辽宁省财政厅、教育厅等部门《关于印发</w:t>
      </w:r>
      <w:r>
        <w:rPr>
          <w:rFonts w:hint="eastAsia" w:ascii="仿宋_GB2312" w:eastAsia="仿宋_GB2312"/>
          <w:sz w:val="32"/>
          <w:szCs w:val="32"/>
          <w:lang w:val="en-US" w:eastAsia="zh-CN"/>
        </w:rPr>
        <w:t>&lt;</w:t>
      </w:r>
      <w:r>
        <w:rPr>
          <w:rFonts w:hint="eastAsia" w:ascii="仿宋_GB2312" w:eastAsia="仿宋_GB2312"/>
          <w:sz w:val="32"/>
          <w:szCs w:val="32"/>
        </w:rPr>
        <w:t>辽宁省学生资助资金管理办法&gt;的通知》” (辽财教规(2019] 2号)</w:t>
      </w:r>
      <w:r>
        <w:rPr>
          <w:rFonts w:hint="eastAsia" w:ascii="仿宋_GB2312" w:eastAsia="仿宋_GB2312"/>
          <w:sz w:val="32"/>
          <w:szCs w:val="32"/>
          <w:lang w:val="en-US" w:eastAsia="zh-CN"/>
        </w:rPr>
        <w:t>及</w:t>
      </w:r>
      <w:r>
        <w:rPr>
          <w:rFonts w:hint="eastAsia" w:ascii="仿宋_GB2312" w:eastAsia="仿宋_GB2312"/>
          <w:sz w:val="32"/>
          <w:szCs w:val="32"/>
        </w:rPr>
        <w:t>《辽宁对外经贸学院助学金管理办法》</w:t>
      </w:r>
      <w:r>
        <w:rPr>
          <w:rFonts w:hint="eastAsia" w:ascii="仿宋_GB2312" w:eastAsia="仿宋_GB2312"/>
          <w:sz w:val="32"/>
          <w:szCs w:val="32"/>
          <w:lang w:val="en-US" w:eastAsia="zh-CN"/>
        </w:rPr>
        <w:t>文件精神</w:t>
      </w:r>
      <w:r>
        <w:rPr>
          <w:rFonts w:hint="eastAsia" w:ascii="仿宋_GB2312" w:eastAsia="仿宋_GB2312"/>
          <w:sz w:val="32"/>
          <w:szCs w:val="32"/>
        </w:rPr>
        <w:t>,</w:t>
      </w:r>
      <w:r>
        <w:rPr>
          <w:rFonts w:hint="eastAsia" w:ascii="仿宋_GB2312" w:eastAsia="仿宋_GB2312"/>
          <w:sz w:val="32"/>
          <w:szCs w:val="32"/>
          <w:lang w:val="en-US" w:eastAsia="zh-CN"/>
        </w:rPr>
        <w:t>扎实推进资助育人及精准资助工作，</w:t>
      </w:r>
      <w:r>
        <w:rPr>
          <w:rFonts w:hint="eastAsia" w:ascii="仿宋_GB2312" w:eastAsia="仿宋_GB2312"/>
          <w:sz w:val="32"/>
          <w:szCs w:val="32"/>
        </w:rPr>
        <w:t>现将有关评选事宜通知如下：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评审条件</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1.学校助学金用于资助我校家庭经济困难的全日制本科在校学生。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2.学校助学金不与国家励志奖学金、国家助学金兼得。</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3.学校</w:t>
      </w:r>
      <w:r>
        <w:rPr>
          <w:rFonts w:hint="eastAsia" w:ascii="仿宋_GB2312" w:eastAsia="仿宋_GB2312"/>
          <w:sz w:val="32"/>
          <w:szCs w:val="32"/>
          <w:lang w:eastAsia="zh-CN"/>
        </w:rPr>
        <w:t>助学金</w:t>
      </w:r>
      <w:r>
        <w:rPr>
          <w:rFonts w:hint="eastAsia" w:ascii="仿宋_GB2312" w:eastAsia="仿宋_GB2312"/>
          <w:sz w:val="32"/>
          <w:szCs w:val="32"/>
        </w:rPr>
        <w:t>评定与</w:t>
      </w:r>
      <w:r>
        <w:rPr>
          <w:rFonts w:hint="eastAsia" w:ascii="仿宋_GB2312" w:eastAsia="仿宋_GB2312"/>
          <w:sz w:val="32"/>
          <w:szCs w:val="32"/>
          <w:lang w:val="en-US" w:eastAsia="zh-CN"/>
        </w:rPr>
        <w:t>国家</w:t>
      </w:r>
      <w:r>
        <w:rPr>
          <w:rFonts w:hint="eastAsia" w:ascii="仿宋_GB2312" w:eastAsia="仿宋_GB2312"/>
          <w:sz w:val="32"/>
          <w:szCs w:val="32"/>
          <w:lang w:eastAsia="zh-CN"/>
        </w:rPr>
        <w:t>助学金</w:t>
      </w:r>
      <w:r>
        <w:rPr>
          <w:rFonts w:hint="eastAsia" w:ascii="仿宋_GB2312" w:eastAsia="仿宋_GB2312"/>
          <w:sz w:val="32"/>
          <w:szCs w:val="32"/>
        </w:rPr>
        <w:t>评定同步进行。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4.学校</w:t>
      </w:r>
      <w:r>
        <w:rPr>
          <w:rFonts w:hint="eastAsia" w:ascii="仿宋_GB2312" w:eastAsia="仿宋_GB2312"/>
          <w:sz w:val="32"/>
          <w:szCs w:val="32"/>
          <w:lang w:eastAsia="zh-CN"/>
        </w:rPr>
        <w:t>助学金</w:t>
      </w:r>
      <w:r>
        <w:rPr>
          <w:rFonts w:hint="eastAsia" w:ascii="仿宋_GB2312" w:eastAsia="仿宋_GB2312"/>
          <w:sz w:val="32"/>
          <w:szCs w:val="32"/>
        </w:rPr>
        <w:t>每学年评定一次,坚持公开、公平、公正的原则。</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奖励标准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学校助学金</w:t>
      </w:r>
      <w:r>
        <w:rPr>
          <w:rFonts w:hint="default" w:ascii="仿宋_GB2312" w:eastAsia="仿宋_GB2312"/>
          <w:sz w:val="32"/>
          <w:szCs w:val="32"/>
          <w:lang w:val="en-US" w:eastAsia="zh-CN"/>
        </w:rPr>
        <w:t>设立两个等级,一等助学金为每年</w:t>
      </w:r>
      <w:r>
        <w:rPr>
          <w:rFonts w:hint="eastAsia" w:ascii="仿宋_GB2312" w:eastAsia="仿宋_GB2312"/>
          <w:sz w:val="32"/>
          <w:szCs w:val="32"/>
          <w:lang w:val="en-US" w:eastAsia="zh-CN"/>
        </w:rPr>
        <w:t>2000</w:t>
      </w:r>
      <w:r>
        <w:rPr>
          <w:rFonts w:hint="default" w:ascii="仿宋_GB2312" w:eastAsia="仿宋_GB2312"/>
          <w:sz w:val="32"/>
          <w:szCs w:val="32"/>
          <w:lang w:val="en-US" w:eastAsia="zh-CN"/>
        </w:rPr>
        <w:t>元/生;二等助学金为每年1000元/生。</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default" w:ascii="黑体" w:hAnsi="黑体" w:eastAsia="黑体" w:cs="黑体"/>
          <w:sz w:val="32"/>
          <w:szCs w:val="32"/>
          <w:lang w:val="en-US" w:eastAsia="zh-CN"/>
        </w:rPr>
      </w:pPr>
      <w:r>
        <w:rPr>
          <w:rFonts w:hint="default" w:ascii="黑体" w:hAnsi="黑体" w:eastAsia="黑体" w:cs="黑体"/>
          <w:sz w:val="32"/>
          <w:szCs w:val="32"/>
          <w:lang w:val="en-US" w:eastAsia="zh-CN"/>
        </w:rPr>
        <w:t>名额分配</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学校助学金用于资助我校家庭经济困难的全日制本科在校学生,资助比例控制在在校生总人数的3%。一等助学金占总人数的1%，二等助学金占总人数的2%。</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学校资助管理中心根据各项目名额及各学院学生人数与全校学生总人数比例测算（名额数*学院人数/全校人数），初步确定分配名额如下：</w:t>
      </w:r>
    </w:p>
    <w:tbl>
      <w:tblPr>
        <w:tblStyle w:val="4"/>
        <w:tblW w:w="830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053"/>
        <w:gridCol w:w="1150"/>
        <w:gridCol w:w="1075"/>
        <w:gridCol w:w="937"/>
        <w:gridCol w:w="1013"/>
        <w:gridCol w:w="1037"/>
        <w:gridCol w:w="1038"/>
        <w:gridCol w:w="1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9" w:hRule="atLeast"/>
        </w:trPr>
        <w:tc>
          <w:tcPr>
            <w:tcW w:w="10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学院</w:t>
            </w:r>
          </w:p>
        </w:tc>
        <w:tc>
          <w:tcPr>
            <w:tcW w:w="11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国贸</w:t>
            </w:r>
          </w:p>
        </w:tc>
        <w:tc>
          <w:tcPr>
            <w:tcW w:w="10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国商</w:t>
            </w:r>
          </w:p>
        </w:tc>
        <w:tc>
          <w:tcPr>
            <w:tcW w:w="9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会计</w:t>
            </w:r>
          </w:p>
        </w:tc>
        <w:tc>
          <w:tcPr>
            <w:tcW w:w="101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外语</w:t>
            </w:r>
          </w:p>
        </w:tc>
        <w:tc>
          <w:tcPr>
            <w:tcW w:w="10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信管</w:t>
            </w:r>
          </w:p>
        </w:tc>
        <w:tc>
          <w:tcPr>
            <w:tcW w:w="10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艺术</w:t>
            </w:r>
          </w:p>
        </w:tc>
        <w:tc>
          <w:tcPr>
            <w:tcW w:w="10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总人数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9" w:hRule="atLeast"/>
        </w:trPr>
        <w:tc>
          <w:tcPr>
            <w:tcW w:w="10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合计</w:t>
            </w:r>
          </w:p>
        </w:tc>
        <w:tc>
          <w:tcPr>
            <w:tcW w:w="11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75</w:t>
            </w:r>
          </w:p>
        </w:tc>
        <w:tc>
          <w:tcPr>
            <w:tcW w:w="10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82</w:t>
            </w:r>
          </w:p>
        </w:tc>
        <w:tc>
          <w:tcPr>
            <w:tcW w:w="9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67</w:t>
            </w:r>
          </w:p>
        </w:tc>
        <w:tc>
          <w:tcPr>
            <w:tcW w:w="101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63</w:t>
            </w:r>
          </w:p>
        </w:tc>
        <w:tc>
          <w:tcPr>
            <w:tcW w:w="10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60</w:t>
            </w:r>
          </w:p>
        </w:tc>
        <w:tc>
          <w:tcPr>
            <w:tcW w:w="10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13</w:t>
            </w:r>
          </w:p>
        </w:tc>
        <w:tc>
          <w:tcPr>
            <w:tcW w:w="10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360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9" w:hRule="atLeast"/>
        </w:trPr>
        <w:tc>
          <w:tcPr>
            <w:tcW w:w="10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一等</w:t>
            </w:r>
          </w:p>
        </w:tc>
        <w:tc>
          <w:tcPr>
            <w:tcW w:w="11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25</w:t>
            </w:r>
          </w:p>
        </w:tc>
        <w:tc>
          <w:tcPr>
            <w:tcW w:w="10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27</w:t>
            </w:r>
          </w:p>
        </w:tc>
        <w:tc>
          <w:tcPr>
            <w:tcW w:w="9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22</w:t>
            </w:r>
          </w:p>
        </w:tc>
        <w:tc>
          <w:tcPr>
            <w:tcW w:w="101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21</w:t>
            </w:r>
          </w:p>
        </w:tc>
        <w:tc>
          <w:tcPr>
            <w:tcW w:w="10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20</w:t>
            </w:r>
          </w:p>
        </w:tc>
        <w:tc>
          <w:tcPr>
            <w:tcW w:w="10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5</w:t>
            </w:r>
          </w:p>
        </w:tc>
        <w:tc>
          <w:tcPr>
            <w:tcW w:w="10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9" w:hRule="atLeast"/>
        </w:trPr>
        <w:tc>
          <w:tcPr>
            <w:tcW w:w="105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二等</w:t>
            </w:r>
          </w:p>
        </w:tc>
        <w:tc>
          <w:tcPr>
            <w:tcW w:w="115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50</w:t>
            </w:r>
          </w:p>
        </w:tc>
        <w:tc>
          <w:tcPr>
            <w:tcW w:w="1075"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2"/>
                <w:szCs w:val="22"/>
                <w:u w:val="none"/>
                <w:lang w:val="en-US" w:eastAsia="zh-CN" w:bidi="ar-SA"/>
              </w:rPr>
            </w:pPr>
            <w:r>
              <w:rPr>
                <w:rFonts w:hint="eastAsia" w:ascii="宋体" w:hAnsi="宋体" w:cs="宋体"/>
                <w:i w:val="0"/>
                <w:color w:val="000000"/>
                <w:sz w:val="22"/>
                <w:szCs w:val="22"/>
                <w:u w:val="none"/>
                <w:lang w:val="en-US" w:eastAsia="zh-CN"/>
              </w:rPr>
              <w:t>55</w:t>
            </w:r>
          </w:p>
        </w:tc>
        <w:tc>
          <w:tcPr>
            <w:tcW w:w="9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2"/>
                <w:szCs w:val="22"/>
                <w:u w:val="none"/>
                <w:lang w:val="en-US" w:eastAsia="zh-CN" w:bidi="ar-SA"/>
              </w:rPr>
            </w:pPr>
            <w:r>
              <w:rPr>
                <w:rFonts w:hint="eastAsia" w:ascii="宋体" w:hAnsi="宋体" w:cs="宋体"/>
                <w:i w:val="0"/>
                <w:color w:val="000000"/>
                <w:sz w:val="22"/>
                <w:szCs w:val="22"/>
                <w:u w:val="none"/>
                <w:lang w:val="en-US" w:eastAsia="zh-CN"/>
              </w:rPr>
              <w:t>45</w:t>
            </w:r>
          </w:p>
        </w:tc>
        <w:tc>
          <w:tcPr>
            <w:tcW w:w="1013"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2"/>
                <w:sz w:val="22"/>
                <w:szCs w:val="22"/>
                <w:u w:val="none"/>
                <w:lang w:val="en-US" w:eastAsia="zh-CN" w:bidi="ar-SA"/>
              </w:rPr>
            </w:pPr>
            <w:r>
              <w:rPr>
                <w:rFonts w:hint="eastAsia" w:ascii="宋体" w:hAnsi="宋体" w:cs="宋体"/>
                <w:i w:val="0"/>
                <w:color w:val="000000"/>
                <w:sz w:val="22"/>
                <w:szCs w:val="22"/>
                <w:u w:val="none"/>
                <w:lang w:val="en-US" w:eastAsia="zh-CN"/>
              </w:rPr>
              <w:t>42</w:t>
            </w:r>
          </w:p>
        </w:tc>
        <w:tc>
          <w:tcPr>
            <w:tcW w:w="1037"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cs="宋体"/>
                <w:i w:val="0"/>
                <w:color w:val="000000"/>
                <w:sz w:val="22"/>
                <w:szCs w:val="22"/>
                <w:u w:val="none"/>
                <w:lang w:val="en-US" w:eastAsia="zh-CN"/>
              </w:rPr>
              <w:t>40</w:t>
            </w:r>
          </w:p>
        </w:tc>
        <w:tc>
          <w:tcPr>
            <w:tcW w:w="1038"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8</w:t>
            </w:r>
          </w:p>
        </w:tc>
        <w:tc>
          <w:tcPr>
            <w:tcW w:w="100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240</w:t>
            </w:r>
          </w:p>
        </w:tc>
      </w:tr>
    </w:tbl>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评选范围和办法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学校助学金在所有在校本科学生中评选。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1.申请学校助学金的学生，必须是学校已经认定的家庭经济困难学生。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2.各学院在评审工作过程中，要严格掌握评审标准，以上评选办法参照《辽宁对外经贸学院学校助学金管理办法》。</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3.学校</w:t>
      </w:r>
      <w:r>
        <w:rPr>
          <w:rFonts w:hint="eastAsia" w:ascii="仿宋_GB2312" w:eastAsia="仿宋_GB2312"/>
          <w:sz w:val="32"/>
          <w:szCs w:val="32"/>
          <w:lang w:eastAsia="zh-CN"/>
        </w:rPr>
        <w:t>助学金</w:t>
      </w:r>
      <w:r>
        <w:rPr>
          <w:rFonts w:hint="eastAsia" w:ascii="仿宋_GB2312" w:eastAsia="仿宋_GB2312"/>
          <w:sz w:val="32"/>
          <w:szCs w:val="32"/>
        </w:rPr>
        <w:t>评定与</w:t>
      </w:r>
      <w:r>
        <w:rPr>
          <w:rFonts w:hint="eastAsia" w:ascii="仿宋_GB2312" w:eastAsia="仿宋_GB2312"/>
          <w:sz w:val="32"/>
          <w:szCs w:val="32"/>
          <w:lang w:val="en-US" w:eastAsia="zh-CN"/>
        </w:rPr>
        <w:t>国家奖</w:t>
      </w:r>
      <w:r>
        <w:rPr>
          <w:rFonts w:hint="eastAsia" w:ascii="仿宋_GB2312" w:eastAsia="仿宋_GB2312"/>
          <w:sz w:val="32"/>
          <w:szCs w:val="32"/>
          <w:lang w:eastAsia="zh-CN"/>
        </w:rPr>
        <w:t>助学金</w:t>
      </w:r>
      <w:r>
        <w:rPr>
          <w:rFonts w:hint="eastAsia" w:ascii="仿宋_GB2312" w:eastAsia="仿宋_GB2312"/>
          <w:sz w:val="32"/>
          <w:szCs w:val="32"/>
        </w:rPr>
        <w:t>评定同步进行</w:t>
      </w:r>
      <w:r>
        <w:rPr>
          <w:rFonts w:hint="eastAsia" w:ascii="仿宋_GB2312" w:eastAsia="仿宋_GB2312"/>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4.学校助学金不与国家励志奖学金、国家助学金兼得。</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评选日程安排</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color w:val="auto"/>
          <w:sz w:val="32"/>
          <w:szCs w:val="32"/>
          <w:highlight w:val="none"/>
          <w:lang w:val="en-US" w:eastAsia="zh-CN"/>
        </w:rPr>
      </w:pPr>
      <w:r>
        <w:rPr>
          <w:rFonts w:hint="eastAsia" w:ascii="仿宋_GB2312" w:eastAsia="仿宋_GB2312"/>
          <w:sz w:val="32"/>
          <w:szCs w:val="32"/>
          <w:lang w:val="en-US" w:eastAsia="zh-CN"/>
        </w:rPr>
        <w:t>1.各学院</w:t>
      </w:r>
      <w:r>
        <w:rPr>
          <w:rFonts w:hint="eastAsia" w:ascii="仿宋_GB2312" w:eastAsia="仿宋_GB2312"/>
          <w:sz w:val="32"/>
          <w:szCs w:val="32"/>
          <w:highlight w:val="none"/>
          <w:lang w:val="en-US" w:eastAsia="zh-CN"/>
        </w:rPr>
        <w:t>于10月23日完成学校助学金的评选工作并公</w:t>
      </w:r>
      <w:bookmarkStart w:id="0" w:name="_GoBack"/>
      <w:bookmarkEnd w:id="0"/>
      <w:r>
        <w:rPr>
          <w:rFonts w:hint="eastAsia" w:ascii="仿宋_GB2312" w:eastAsia="仿宋_GB2312"/>
          <w:sz w:val="32"/>
          <w:szCs w:val="32"/>
          <w:highlight w:val="none"/>
          <w:lang w:val="en-US" w:eastAsia="zh-CN"/>
        </w:rPr>
        <w:t>示5日完毕，并将辽宁对外经贸学院学校助学金汇总表（见附件1）、</w:t>
      </w:r>
      <w:r>
        <w:rPr>
          <w:rFonts w:hint="eastAsia" w:ascii="仿宋_GB2312" w:eastAsia="仿宋_GB2312"/>
          <w:color w:val="auto"/>
          <w:sz w:val="32"/>
          <w:szCs w:val="32"/>
          <w:highlight w:val="none"/>
          <w:lang w:val="en-US" w:eastAsia="zh-CN"/>
        </w:rPr>
        <w:t>申请表（附件2）</w:t>
      </w:r>
      <w:r>
        <w:rPr>
          <w:rFonts w:hint="eastAsia" w:ascii="仿宋_GB2312" w:eastAsia="仿宋_GB2312"/>
          <w:sz w:val="32"/>
          <w:szCs w:val="32"/>
          <w:highlight w:val="none"/>
          <w:lang w:val="en-US" w:eastAsia="zh-CN"/>
        </w:rPr>
        <w:t>电子版报送学生资助管理中心邮箱：</w:t>
      </w:r>
      <w:r>
        <w:rPr>
          <w:rFonts w:hint="eastAsia" w:ascii="仿宋_GB2312" w:eastAsia="仿宋_GB2312"/>
          <w:color w:val="auto"/>
          <w:sz w:val="32"/>
          <w:szCs w:val="32"/>
          <w:highlight w:val="none"/>
          <w:lang w:val="en-US" w:eastAsia="zh-CN"/>
        </w:rPr>
        <w:fldChar w:fldCharType="begin"/>
      </w:r>
      <w:r>
        <w:rPr>
          <w:rFonts w:hint="eastAsia" w:ascii="仿宋_GB2312" w:eastAsia="仿宋_GB2312"/>
          <w:color w:val="auto"/>
          <w:sz w:val="32"/>
          <w:szCs w:val="32"/>
          <w:highlight w:val="none"/>
          <w:lang w:val="en-US" w:eastAsia="zh-CN"/>
        </w:rPr>
        <w:instrText xml:space="preserve"> HYPERLINK "mailto:luibe_xsc@sina.com）；励志奖学金和助学金的审批表（附件1、2）要手工填写、字迹工整，审批表、汇总表纸质版于同时上交学生资助管理中心。" </w:instrText>
      </w:r>
      <w:r>
        <w:rPr>
          <w:rFonts w:hint="eastAsia" w:ascii="仿宋_GB2312" w:eastAsia="仿宋_GB2312"/>
          <w:color w:val="auto"/>
          <w:sz w:val="32"/>
          <w:szCs w:val="32"/>
          <w:highlight w:val="none"/>
          <w:lang w:val="en-US" w:eastAsia="zh-CN"/>
        </w:rPr>
        <w:fldChar w:fldCharType="separate"/>
      </w:r>
      <w:r>
        <w:rPr>
          <w:rFonts w:hint="eastAsia" w:ascii="仿宋_GB2312" w:eastAsia="仿宋_GB2312"/>
          <w:color w:val="auto"/>
          <w:sz w:val="32"/>
          <w:szCs w:val="32"/>
          <w:highlight w:val="none"/>
          <w:lang w:val="en-US" w:eastAsia="zh-CN"/>
        </w:rPr>
        <w:t>luibe_xsc@sina.com；纸质版同时上交学生资助管理中心。</w:t>
      </w:r>
      <w:r>
        <w:rPr>
          <w:rFonts w:hint="eastAsia" w:ascii="仿宋_GB2312" w:eastAsia="仿宋_GB2312"/>
          <w:color w:val="auto"/>
          <w:sz w:val="32"/>
          <w:szCs w:val="32"/>
          <w:highlight w:val="none"/>
          <w:lang w:val="en-US" w:eastAsia="zh-CN"/>
        </w:rPr>
        <w:fldChar w:fldCharType="end"/>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评选要求</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1.各学院在适当范围以适当方式公示时间不少于5个工作日，不计算法定节假日，公示期满后将公示信息及时撤下，不能公示学生个人敏感信息。</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2.各学院应高度重视奖助学金的评选工作，坚持公开、公平、公正、择优的评选原则，严格按照评审标准和程序组织申报工作。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联系电话0411-86208201</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特此通知。</w:t>
      </w:r>
    </w:p>
    <w:p>
      <w:pPr>
        <w:spacing w:line="520" w:lineRule="exact"/>
        <w:rPr>
          <w:rFonts w:hint="eastAsia" w:ascii="仿宋_GB2312" w:eastAsia="仿宋_GB2312"/>
          <w:sz w:val="32"/>
          <w:szCs w:val="32"/>
        </w:rPr>
      </w:pPr>
    </w:p>
    <w:p>
      <w:pPr>
        <w:spacing w:line="560" w:lineRule="exact"/>
        <w:ind w:firstLine="560" w:firstLineChars="200"/>
        <w:rPr>
          <w:rFonts w:hint="eastAsia" w:ascii="仿宋_GB2312" w:hAnsi="仿宋_GB2312" w:eastAsia="仿宋_GB2312" w:cs="仿宋_GB2312"/>
          <w:sz w:val="28"/>
          <w:szCs w:val="28"/>
          <w:lang w:eastAsia="zh-CN"/>
        </w:rPr>
      </w:pPr>
    </w:p>
    <w:p>
      <w:pPr>
        <w:spacing w:line="560" w:lineRule="exact"/>
        <w:rPr>
          <w:rFonts w:ascii="仿宋_GB2312" w:hAnsi="仿宋_GB2312" w:eastAsia="仿宋_GB2312" w:cs="仿宋_GB2312"/>
          <w:b/>
          <w:sz w:val="32"/>
          <w:szCs w:val="32"/>
        </w:rPr>
      </w:pPr>
      <w:r>
        <w:rPr>
          <w:rFonts w:ascii="仿宋_GB2312" w:hAnsi="仿宋_GB2312" w:eastAsia="仿宋_GB2312" w:cs="仿宋_GB2312"/>
          <w:sz w:val="32"/>
          <w:szCs w:val="32"/>
        </w:rPr>
        <w:drawing>
          <wp:anchor distT="0" distB="0" distL="114300" distR="114300" simplePos="0" relativeHeight="251658240" behindDoc="1" locked="0" layoutInCell="1" allowOverlap="1">
            <wp:simplePos x="0" y="0"/>
            <wp:positionH relativeFrom="column">
              <wp:posOffset>3255010</wp:posOffset>
            </wp:positionH>
            <wp:positionV relativeFrom="paragraph">
              <wp:posOffset>-237490</wp:posOffset>
            </wp:positionV>
            <wp:extent cx="1481455" cy="1457960"/>
            <wp:effectExtent l="12700" t="0" r="29845" b="15240"/>
            <wp:wrapNone/>
            <wp:docPr id="6" name="Picture 8" descr="学生处电子章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8" descr="学生处电子章1"/>
                    <pic:cNvPicPr>
                      <a:picLocks noChangeAspect="1"/>
                    </pic:cNvPicPr>
                  </pic:nvPicPr>
                  <pic:blipFill>
                    <a:blip r:embed="rId5"/>
                    <a:stretch>
                      <a:fillRect/>
                    </a:stretch>
                  </pic:blipFill>
                  <pic:spPr>
                    <a:xfrm rot="21540000">
                      <a:off x="0" y="0"/>
                      <a:ext cx="1481455" cy="1457960"/>
                    </a:xfrm>
                    <a:prstGeom prst="rect">
                      <a:avLst/>
                    </a:prstGeom>
                    <a:noFill/>
                    <a:ln>
                      <a:noFill/>
                    </a:ln>
                  </pic:spPr>
                </pic:pic>
              </a:graphicData>
            </a:graphic>
          </wp:anchor>
        </w:draw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辽宁对外经贸学院学生处</w:t>
      </w:r>
    </w:p>
    <w:p>
      <w:pPr>
        <w:pStyle w:val="3"/>
        <w:spacing w:before="0" w:beforeAutospacing="0" w:after="0" w:afterAutospacing="0" w:line="560" w:lineRule="exact"/>
        <w:rPr>
          <w:rFonts w:hint="default" w:ascii="仿宋_GB2312" w:eastAsia="仿宋_GB2312"/>
          <w:sz w:val="32"/>
          <w:szCs w:val="32"/>
          <w:lang w:val="en-US" w:eastAsia="zh-CN"/>
        </w:rPr>
      </w:pPr>
      <w:r>
        <w:rPr>
          <w:rFonts w:hint="eastAsia" w:ascii="仿宋_GB2312" w:hAnsi="仿宋_GB2312" w:eastAsia="仿宋_GB2312" w:cs="仿宋_GB2312"/>
          <w:b/>
          <w:sz w:val="32"/>
          <w:szCs w:val="32"/>
        </w:rPr>
        <w:t xml:space="preserve">                              二</w:t>
      </w:r>
      <w:r>
        <w:rPr>
          <w:rFonts w:hint="eastAsia"/>
          <w:b/>
          <w:sz w:val="32"/>
          <w:szCs w:val="32"/>
        </w:rPr>
        <w:t>〇</w:t>
      </w:r>
      <w:r>
        <w:rPr>
          <w:rFonts w:hint="eastAsia" w:ascii="仿宋_GB2312" w:hAnsi="仿宋_GB2312" w:eastAsia="仿宋_GB2312" w:cs="仿宋_GB2312"/>
          <w:b/>
          <w:sz w:val="32"/>
          <w:szCs w:val="32"/>
        </w:rPr>
        <w:t>二</w:t>
      </w:r>
      <w:r>
        <w:rPr>
          <w:rFonts w:hint="eastAsia"/>
          <w:b/>
          <w:sz w:val="32"/>
          <w:szCs w:val="32"/>
        </w:rPr>
        <w:t>〇</w:t>
      </w:r>
      <w:r>
        <w:rPr>
          <w:rFonts w:hint="eastAsia" w:ascii="仿宋_GB2312" w:hAnsi="仿宋_GB2312" w:eastAsia="仿宋_GB2312" w:cs="仿宋_GB2312"/>
          <w:b/>
          <w:sz w:val="32"/>
          <w:szCs w:val="32"/>
        </w:rPr>
        <w:t>年九月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CA1B234"/>
    <w:multiLevelType w:val="singleLevel"/>
    <w:tmpl w:val="FCA1B23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AD1D2B"/>
    <w:rsid w:val="029653D4"/>
    <w:rsid w:val="04362805"/>
    <w:rsid w:val="06724E31"/>
    <w:rsid w:val="09F1780A"/>
    <w:rsid w:val="0A2C690D"/>
    <w:rsid w:val="0E394D9D"/>
    <w:rsid w:val="0FF36060"/>
    <w:rsid w:val="100E56F6"/>
    <w:rsid w:val="10670FAC"/>
    <w:rsid w:val="13940DF9"/>
    <w:rsid w:val="1B61355A"/>
    <w:rsid w:val="1FFC48DA"/>
    <w:rsid w:val="24354206"/>
    <w:rsid w:val="27AD1D2B"/>
    <w:rsid w:val="280056D1"/>
    <w:rsid w:val="2C25719E"/>
    <w:rsid w:val="2C5212A2"/>
    <w:rsid w:val="39D57EAF"/>
    <w:rsid w:val="3AA143FF"/>
    <w:rsid w:val="3DE9572E"/>
    <w:rsid w:val="40896044"/>
    <w:rsid w:val="41B2318E"/>
    <w:rsid w:val="468B4D67"/>
    <w:rsid w:val="471A76F7"/>
    <w:rsid w:val="4E5A35FB"/>
    <w:rsid w:val="4EAC5683"/>
    <w:rsid w:val="518E0501"/>
    <w:rsid w:val="577E609F"/>
    <w:rsid w:val="5B7B70DA"/>
    <w:rsid w:val="5BD51247"/>
    <w:rsid w:val="5E7A55C0"/>
    <w:rsid w:val="630929E9"/>
    <w:rsid w:val="66C85336"/>
    <w:rsid w:val="68041132"/>
    <w:rsid w:val="695C0DBC"/>
    <w:rsid w:val="6FB0610D"/>
    <w:rsid w:val="72DB7B0B"/>
    <w:rsid w:val="75F1344B"/>
    <w:rsid w:val="7944418F"/>
    <w:rsid w:val="7C6450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qFormat/>
    <w:uiPriority w:val="0"/>
    <w:pPr>
      <w:tabs>
        <w:tab w:val="left" w:pos="2464"/>
      </w:tabs>
      <w:spacing w:before="156" w:beforeLines="50" w:after="156" w:afterLines="50"/>
      <w:ind w:firstLine="463" w:firstLineChars="192"/>
      <w:jc w:val="center"/>
      <w:outlineLvl w:val="1"/>
    </w:pPr>
    <w:rPr>
      <w:rFonts w:ascii="宋体" w:hAnsi="宋体"/>
      <w:b/>
      <w:sz w:val="24"/>
      <w:szCs w:val="21"/>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889</Words>
  <Characters>980</Characters>
  <Lines>0</Lines>
  <Paragraphs>0</Paragraphs>
  <TotalTime>7</TotalTime>
  <ScaleCrop>false</ScaleCrop>
  <LinksUpToDate>false</LinksUpToDate>
  <CharactersWithSpaces>1040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2020-09-03T02:32:00Z</dcterms:created>
  <dc:creator>LUIBE</dc:creator>
  <cp:lastModifiedBy>小十的家</cp:lastModifiedBy>
  <dcterms:modified xsi:type="dcterms:W3CDTF">2020-10-08T00:41:49Z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